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63F39">
      <w:pPr>
        <w:pStyle w:val="2"/>
        <w:keepNext w:val="0"/>
        <w:keepLines w:val="0"/>
        <w:pageBreakBefore w:val="0"/>
        <w:widowControl/>
        <w:wordWrap/>
        <w:bidi w:val="0"/>
        <w:spacing w:before="180" w:line="220" w:lineRule="auto"/>
        <w:ind w:left="1955"/>
        <w:jc w:val="both"/>
        <w:outlineLvl w:val="0"/>
        <w:rPr>
          <w:sz w:val="28"/>
          <w:szCs w:val="28"/>
        </w:rPr>
      </w:pPr>
      <w:r>
        <w:rPr>
          <w:b/>
          <w:bCs/>
          <w:spacing w:val="-5"/>
          <w:sz w:val="28"/>
          <w:szCs w:val="28"/>
        </w:rPr>
        <w:t>四川外国语大学国际金融与贸易学院</w:t>
      </w:r>
    </w:p>
    <w:p w14:paraId="30D01D33">
      <w:pPr>
        <w:pStyle w:val="2"/>
        <w:keepNext w:val="0"/>
        <w:keepLines w:val="0"/>
        <w:pageBreakBefore w:val="0"/>
        <w:widowControl/>
        <w:wordWrap/>
        <w:bidi w:val="0"/>
        <w:spacing w:before="290" w:line="219" w:lineRule="auto"/>
        <w:ind w:left="30"/>
        <w:jc w:val="both"/>
        <w:outlineLvl w:val="0"/>
        <w:rPr>
          <w:sz w:val="28"/>
          <w:szCs w:val="28"/>
        </w:rPr>
      </w:pPr>
      <w:r>
        <w:rPr>
          <w:b/>
          <w:bCs/>
          <w:spacing w:val="-3"/>
          <w:sz w:val="28"/>
          <w:szCs w:val="28"/>
        </w:rPr>
        <w:t>推荐202</w:t>
      </w:r>
      <w:r>
        <w:rPr>
          <w:rFonts w:hint="eastAsia"/>
          <w:b/>
          <w:bCs/>
          <w:spacing w:val="-3"/>
          <w:sz w:val="28"/>
          <w:szCs w:val="28"/>
          <w:lang w:val="en-US" w:eastAsia="zh-CN"/>
        </w:rPr>
        <w:t>7</w:t>
      </w:r>
      <w:r>
        <w:rPr>
          <w:b/>
          <w:bCs/>
          <w:spacing w:val="-3"/>
          <w:sz w:val="28"/>
          <w:szCs w:val="28"/>
        </w:rPr>
        <w:t>届优秀应届本科毕业生免试攻读硕士学位研究生</w:t>
      </w:r>
      <w:r>
        <w:rPr>
          <w:b/>
          <w:bCs/>
          <w:spacing w:val="-4"/>
          <w:sz w:val="28"/>
          <w:szCs w:val="28"/>
        </w:rPr>
        <w:t>实施细则</w:t>
      </w:r>
    </w:p>
    <w:p w14:paraId="76C11203">
      <w:pPr>
        <w:pStyle w:val="2"/>
        <w:keepNext w:val="0"/>
        <w:keepLines w:val="0"/>
        <w:pageBreakBefore w:val="0"/>
        <w:widowControl/>
        <w:wordWrap/>
        <w:bidi w:val="0"/>
        <w:spacing w:before="232" w:line="361" w:lineRule="auto"/>
        <w:ind w:left="24" w:right="70" w:firstLine="478"/>
        <w:jc w:val="both"/>
      </w:pPr>
      <w:r>
        <w:rPr>
          <w:spacing w:val="-4"/>
        </w:rPr>
        <w:t>根据《四川外国语大学推荐优秀应届本科毕业生免试攻读硕士学位研究生工</w:t>
      </w:r>
      <w:r>
        <w:rPr>
          <w:spacing w:val="-10"/>
        </w:rPr>
        <w:t>作实施办法（修订稿）》《四川外国语大学关于教授联名推荐“学术特长生”免试攻读硕士学位研究生的实施办法（修订稿）》《四川外国语大学研究生推免附加分</w:t>
      </w:r>
      <w:r>
        <w:rPr>
          <w:spacing w:val="-2"/>
        </w:rPr>
        <w:t>列表》等文件精神，结合我院实际情况，制定本实施细则。</w:t>
      </w:r>
    </w:p>
    <w:p w14:paraId="076BAF94">
      <w:pPr>
        <w:keepNext w:val="0"/>
        <w:keepLines w:val="0"/>
        <w:pageBreakBefore w:val="0"/>
        <w:widowControl/>
        <w:wordWrap/>
        <w:bidi w:val="0"/>
        <w:spacing w:line="345" w:lineRule="auto"/>
        <w:jc w:val="both"/>
        <w:rPr>
          <w:rFonts w:ascii="Arial"/>
          <w:sz w:val="21"/>
        </w:rPr>
      </w:pPr>
    </w:p>
    <w:p w14:paraId="2BBE60A8">
      <w:pPr>
        <w:pStyle w:val="2"/>
        <w:keepNext w:val="0"/>
        <w:keepLines w:val="0"/>
        <w:pageBreakBefore w:val="0"/>
        <w:widowControl/>
        <w:kinsoku/>
        <w:wordWrap/>
        <w:overflowPunct w:val="0"/>
        <w:topLinePunct/>
        <w:autoSpaceDE w:val="0"/>
        <w:autoSpaceDN w:val="0"/>
        <w:bidi w:val="0"/>
        <w:adjustRightInd w:val="0"/>
        <w:snapToGrid w:val="0"/>
        <w:spacing w:line="360" w:lineRule="auto"/>
        <w:ind w:left="45"/>
        <w:jc w:val="both"/>
        <w:textAlignment w:val="baseline"/>
        <w:outlineLvl w:val="0"/>
        <w:rPr>
          <w:b/>
          <w:bCs/>
          <w:spacing w:val="-5"/>
        </w:rPr>
      </w:pPr>
      <w:r>
        <w:rPr>
          <w:b/>
          <w:bCs/>
          <w:spacing w:val="-5"/>
        </w:rPr>
        <w:t>一、组织领导</w:t>
      </w:r>
    </w:p>
    <w:p w14:paraId="326AA211">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jc w:val="both"/>
        <w:textAlignment w:val="baseline"/>
        <w:rPr>
          <w:spacing w:val="-2"/>
        </w:rPr>
      </w:pPr>
      <w:r>
        <w:rPr>
          <w:spacing w:val="-2"/>
        </w:rPr>
        <w:t>1．学院成立推免生遴选工作小组，负责我院推免生工作。</w:t>
      </w:r>
    </w:p>
    <w:p w14:paraId="4AE377B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firstLine="500" w:firstLineChars="0"/>
        <w:jc w:val="both"/>
        <w:textAlignment w:val="baseline"/>
      </w:pPr>
      <w:r>
        <w:rPr>
          <w:spacing w:val="-3"/>
        </w:rPr>
        <w:t>组  长：林</w:t>
      </w:r>
      <w:r>
        <w:rPr>
          <w:spacing w:val="11"/>
        </w:rPr>
        <w:t xml:space="preserve">  </w:t>
      </w:r>
      <w:r>
        <w:rPr>
          <w:spacing w:val="-3"/>
        </w:rPr>
        <w:t>川、倪颖军</w:t>
      </w:r>
    </w:p>
    <w:p w14:paraId="5E0C0B49">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firstLine="500" w:firstLineChars="0"/>
        <w:jc w:val="both"/>
        <w:textAlignment w:val="baseline"/>
      </w:pPr>
      <w:r>
        <w:rPr>
          <w:spacing w:val="-2"/>
        </w:rPr>
        <w:t>副组长：许令仪</w:t>
      </w:r>
    </w:p>
    <w:p w14:paraId="56D1ECF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firstLine="500" w:firstLineChars="0"/>
        <w:jc w:val="both"/>
        <w:textAlignment w:val="baseline"/>
      </w:pPr>
      <w:r>
        <w:rPr>
          <w:spacing w:val="-3"/>
        </w:rPr>
        <w:t>秘</w:t>
      </w:r>
      <w:r>
        <w:rPr>
          <w:spacing w:val="7"/>
        </w:rPr>
        <w:t xml:space="preserve">  </w:t>
      </w:r>
      <w:r>
        <w:rPr>
          <w:spacing w:val="-3"/>
        </w:rPr>
        <w:t>书：张瀚艺</w:t>
      </w:r>
    </w:p>
    <w:p w14:paraId="7A93C03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right="1870" w:firstLine="500" w:firstLineChars="0"/>
        <w:jc w:val="both"/>
        <w:textAlignment w:val="baseline"/>
        <w:rPr>
          <w:rFonts w:hint="eastAsia"/>
          <w:spacing w:val="-2"/>
          <w:lang w:eastAsia="zh-CN"/>
        </w:rPr>
      </w:pPr>
      <w:r>
        <w:rPr>
          <w:spacing w:val="-2"/>
        </w:rPr>
        <w:t>成  员：董竞飞、翟浩淼、张云、</w:t>
      </w:r>
      <w:r>
        <w:rPr>
          <w:rFonts w:hint="eastAsia"/>
          <w:spacing w:val="-2"/>
          <w:lang w:val="en-US" w:eastAsia="zh-CN"/>
        </w:rPr>
        <w:t>李金林</w:t>
      </w:r>
      <w:r>
        <w:rPr>
          <w:spacing w:val="-2"/>
        </w:rPr>
        <w:t>、梁蓉</w:t>
      </w:r>
      <w:r>
        <w:rPr>
          <w:rFonts w:hint="eastAsia"/>
          <w:spacing w:val="-2"/>
          <w:lang w:eastAsia="zh-CN"/>
        </w:rPr>
        <w:t>、</w:t>
      </w:r>
    </w:p>
    <w:p w14:paraId="3194E59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right="1870" w:firstLine="1492" w:firstLineChars="638"/>
        <w:jc w:val="both"/>
        <w:textAlignment w:val="baseline"/>
        <w:rPr>
          <w:rFonts w:hint="default" w:eastAsia="宋体"/>
          <w:lang w:val="en-US" w:eastAsia="zh-CN"/>
        </w:rPr>
      </w:pPr>
      <w:r>
        <w:rPr>
          <w:spacing w:val="-3"/>
        </w:rPr>
        <w:t>马健</w:t>
      </w:r>
      <w:r>
        <w:rPr>
          <w:rFonts w:hint="eastAsia"/>
          <w:spacing w:val="-3"/>
          <w:lang w:val="en-US" w:eastAsia="zh-CN"/>
        </w:rPr>
        <w:t>军、李滟婷</w:t>
      </w:r>
    </w:p>
    <w:p w14:paraId="50DBA2B4">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jc w:val="both"/>
        <w:textAlignment w:val="baseline"/>
      </w:pPr>
      <w:r>
        <w:rPr>
          <w:spacing w:val="-2"/>
        </w:rPr>
        <w:t>2．学院成立专家审核小组，负责我院特殊学术专长推免生工作。</w:t>
      </w:r>
    </w:p>
    <w:p w14:paraId="3FD1EA9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firstLine="500" w:firstLineChars="0"/>
        <w:jc w:val="both"/>
        <w:textAlignment w:val="baseline"/>
      </w:pPr>
      <w:r>
        <w:rPr>
          <w:spacing w:val="-4"/>
        </w:rPr>
        <w:t>组</w:t>
      </w:r>
      <w:r>
        <w:rPr>
          <w:spacing w:val="6"/>
        </w:rPr>
        <w:t xml:space="preserve">  </w:t>
      </w:r>
      <w:r>
        <w:rPr>
          <w:spacing w:val="-4"/>
        </w:rPr>
        <w:t>长：林川</w:t>
      </w:r>
    </w:p>
    <w:p w14:paraId="4D98108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firstLine="500" w:firstLineChars="0"/>
        <w:jc w:val="both"/>
        <w:textAlignment w:val="baseline"/>
        <w:rPr>
          <w:spacing w:val="-1"/>
        </w:rPr>
      </w:pPr>
      <w:r>
        <w:rPr>
          <w:spacing w:val="-1"/>
        </w:rPr>
        <w:t>成  员：彭程、许劲、呙小明、刘宏青</w:t>
      </w:r>
    </w:p>
    <w:p w14:paraId="3070893D">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0"/>
        <w:jc w:val="both"/>
        <w:textAlignment w:val="baseline"/>
        <w:rPr>
          <w:spacing w:val="-2"/>
          <w:highlight w:val="none"/>
        </w:rPr>
      </w:pPr>
      <w:r>
        <w:rPr>
          <w:rFonts w:hint="eastAsia"/>
          <w:spacing w:val="-2"/>
          <w:highlight w:val="none"/>
          <w:lang w:val="en-US" w:eastAsia="zh-CN"/>
        </w:rPr>
        <w:t>3</w:t>
      </w:r>
      <w:r>
        <w:rPr>
          <w:spacing w:val="-2"/>
          <w:highlight w:val="none"/>
        </w:rPr>
        <w:t>．学院成立</w:t>
      </w:r>
      <w:r>
        <w:rPr>
          <w:rFonts w:hint="eastAsia"/>
          <w:spacing w:val="-2"/>
          <w:highlight w:val="none"/>
          <w:lang w:val="en-US" w:eastAsia="zh-CN"/>
        </w:rPr>
        <w:t>材料</w:t>
      </w:r>
      <w:r>
        <w:rPr>
          <w:spacing w:val="-2"/>
          <w:highlight w:val="none"/>
        </w:rPr>
        <w:t>审核</w:t>
      </w:r>
      <w:r>
        <w:rPr>
          <w:rFonts w:hint="eastAsia"/>
          <w:spacing w:val="-2"/>
          <w:highlight w:val="none"/>
          <w:lang w:val="en-US" w:eastAsia="zh-CN"/>
        </w:rPr>
        <w:t>专家</w:t>
      </w:r>
      <w:r>
        <w:rPr>
          <w:spacing w:val="-2"/>
          <w:highlight w:val="none"/>
        </w:rPr>
        <w:t>小组，负责我院</w:t>
      </w:r>
      <w:r>
        <w:rPr>
          <w:rFonts w:hint="eastAsia"/>
          <w:spacing w:val="-2"/>
          <w:highlight w:val="none"/>
          <w:lang w:val="en-US" w:eastAsia="zh-CN"/>
        </w:rPr>
        <w:t>推免材料审核</w:t>
      </w:r>
      <w:r>
        <w:rPr>
          <w:spacing w:val="-2"/>
          <w:highlight w:val="none"/>
        </w:rPr>
        <w:t>。</w:t>
      </w:r>
    </w:p>
    <w:p w14:paraId="3F2FC4F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firstLine="500" w:firstLineChars="0"/>
        <w:jc w:val="both"/>
        <w:textAlignment w:val="baseline"/>
        <w:rPr>
          <w:rFonts w:hint="default" w:eastAsia="宋体"/>
          <w:highlight w:val="none"/>
          <w:lang w:val="en-US" w:eastAsia="zh-CN"/>
        </w:rPr>
      </w:pPr>
      <w:r>
        <w:rPr>
          <w:spacing w:val="-4"/>
          <w:highlight w:val="none"/>
        </w:rPr>
        <w:t>组</w:t>
      </w:r>
      <w:r>
        <w:rPr>
          <w:spacing w:val="6"/>
          <w:highlight w:val="none"/>
        </w:rPr>
        <w:t xml:space="preserve">  </w:t>
      </w:r>
      <w:r>
        <w:rPr>
          <w:spacing w:val="-4"/>
          <w:highlight w:val="none"/>
        </w:rPr>
        <w:t>长：</w:t>
      </w:r>
      <w:r>
        <w:rPr>
          <w:rFonts w:hint="eastAsia"/>
          <w:spacing w:val="-4"/>
          <w:highlight w:val="none"/>
          <w:lang w:val="en-US" w:eastAsia="zh-CN"/>
        </w:rPr>
        <w:t>许令仪</w:t>
      </w:r>
    </w:p>
    <w:p w14:paraId="30267A9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00" w:leftChars="0" w:firstLine="500" w:firstLineChars="0"/>
        <w:jc w:val="both"/>
        <w:textAlignment w:val="baseline"/>
        <w:rPr>
          <w:spacing w:val="-1"/>
          <w:highlight w:val="none"/>
        </w:rPr>
      </w:pPr>
      <w:r>
        <w:rPr>
          <w:spacing w:val="-1"/>
          <w:highlight w:val="none"/>
        </w:rPr>
        <w:t>成  员：</w:t>
      </w:r>
      <w:r>
        <w:rPr>
          <w:rFonts w:hint="eastAsia"/>
          <w:spacing w:val="-1"/>
          <w:highlight w:val="none"/>
          <w:lang w:val="en-US" w:eastAsia="zh-CN"/>
        </w:rPr>
        <w:t>董竞飞、张云</w:t>
      </w:r>
    </w:p>
    <w:p w14:paraId="17A89D0F">
      <w:pPr>
        <w:pStyle w:val="2"/>
        <w:keepNext w:val="0"/>
        <w:keepLines w:val="0"/>
        <w:pageBreakBefore w:val="0"/>
        <w:widowControl/>
        <w:kinsoku/>
        <w:wordWrap/>
        <w:overflowPunct w:val="0"/>
        <w:topLinePunct/>
        <w:autoSpaceDE w:val="0"/>
        <w:autoSpaceDN w:val="0"/>
        <w:bidi w:val="0"/>
        <w:adjustRightInd w:val="0"/>
        <w:snapToGrid w:val="0"/>
        <w:spacing w:line="360" w:lineRule="auto"/>
        <w:ind w:left="45"/>
        <w:jc w:val="both"/>
        <w:textAlignment w:val="baseline"/>
        <w:outlineLvl w:val="0"/>
        <w:rPr>
          <w:b/>
          <w:bCs/>
          <w:spacing w:val="-5"/>
          <w:highlight w:val="none"/>
        </w:rPr>
      </w:pPr>
      <w:r>
        <w:rPr>
          <w:b/>
          <w:bCs/>
          <w:spacing w:val="-5"/>
          <w:highlight w:val="none"/>
        </w:rPr>
        <w:t>二、申报条件</w:t>
      </w:r>
    </w:p>
    <w:p w14:paraId="729EE0D6">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highlight w:val="none"/>
          <w:lang w:eastAsia="zh-CN" w:bidi="ar"/>
        </w:rPr>
      </w:pPr>
      <w:r>
        <w:rPr>
          <w:rFonts w:hint="eastAsia" w:ascii="宋体" w:hAnsi="宋体" w:eastAsia="宋体" w:cs="宋体"/>
          <w:snapToGrid/>
          <w:color w:val="000000"/>
          <w:kern w:val="0"/>
          <w:sz w:val="24"/>
          <w:szCs w:val="24"/>
          <w:highlight w:val="none"/>
          <w:lang w:eastAsia="zh-CN" w:bidi="ar"/>
        </w:rPr>
        <w:t>1．申请人应是经国家普通本科招生计划录取，且在规定学制年限内完成学业的全日制应届本科毕业生（不含专升本、第二学士学位、独立学院学生）。</w:t>
      </w:r>
    </w:p>
    <w:p w14:paraId="54DE7810">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highlight w:val="none"/>
          <w:lang w:eastAsia="zh-CN" w:bidi="ar"/>
        </w:rPr>
      </w:pPr>
      <w:r>
        <w:rPr>
          <w:rFonts w:hint="eastAsia" w:ascii="宋体" w:hAnsi="宋体" w:eastAsia="宋体" w:cs="宋体"/>
          <w:snapToGrid/>
          <w:color w:val="000000"/>
          <w:kern w:val="0"/>
          <w:sz w:val="24"/>
          <w:szCs w:val="24"/>
          <w:highlight w:val="none"/>
          <w:lang w:eastAsia="zh-CN" w:bidi="ar"/>
        </w:rPr>
        <w:t>2．遵守中华人民共和国宪法和法律、诚实守信，具有高尚的爱国主义情操和集体主义精神，社会主义信念坚定，社会责任感强，遵纪守法，积极向上，身心健康。</w:t>
      </w:r>
    </w:p>
    <w:p w14:paraId="60DABA56">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highlight w:val="none"/>
          <w:lang w:eastAsia="zh-CN" w:bidi="ar"/>
        </w:rPr>
        <w:t>3．勤奋学习，刻苦钻研，成绩优秀</w:t>
      </w:r>
      <w:r>
        <w:rPr>
          <w:rFonts w:hint="eastAsia" w:ascii="宋体" w:hAnsi="宋体" w:eastAsia="宋体" w:cs="宋体"/>
          <w:snapToGrid/>
          <w:color w:val="000000"/>
          <w:kern w:val="0"/>
          <w:sz w:val="24"/>
          <w:szCs w:val="24"/>
          <w:highlight w:val="none"/>
          <w:lang w:val="en-US" w:eastAsia="zh-CN" w:bidi="ar"/>
        </w:rPr>
        <w:t>，</w:t>
      </w:r>
      <w:r>
        <w:rPr>
          <w:rFonts w:hint="eastAsia" w:ascii="宋体" w:hAnsi="宋体" w:eastAsia="宋体" w:cs="宋体"/>
          <w:snapToGrid/>
          <w:color w:val="000000"/>
          <w:kern w:val="0"/>
          <w:sz w:val="24"/>
          <w:szCs w:val="24"/>
          <w:highlight w:val="none"/>
          <w:lang w:eastAsia="zh-CN" w:bidi="ar"/>
        </w:rPr>
        <w:t>不存在考试</w:t>
      </w:r>
      <w:r>
        <w:rPr>
          <w:rFonts w:hint="eastAsia" w:ascii="宋体" w:hAnsi="宋体" w:eastAsia="宋体" w:cs="宋体"/>
          <w:snapToGrid/>
          <w:color w:val="000000"/>
          <w:kern w:val="0"/>
          <w:sz w:val="24"/>
          <w:szCs w:val="24"/>
          <w:highlight w:val="none"/>
          <w:lang w:val="en-US" w:eastAsia="zh-CN" w:bidi="ar"/>
        </w:rPr>
        <w:t>作弊</w:t>
      </w:r>
      <w:r>
        <w:rPr>
          <w:rFonts w:hint="eastAsia" w:ascii="宋体" w:hAnsi="宋体" w:eastAsia="宋体" w:cs="宋体"/>
          <w:snapToGrid/>
          <w:color w:val="000000"/>
          <w:kern w:val="0"/>
          <w:sz w:val="24"/>
          <w:szCs w:val="24"/>
          <w:highlight w:val="none"/>
          <w:lang w:eastAsia="zh-CN" w:bidi="ar"/>
        </w:rPr>
        <w:t>和学术不端行为。前</w:t>
      </w:r>
      <w:r>
        <w:rPr>
          <w:rFonts w:hint="eastAsia" w:ascii="宋体" w:hAnsi="宋体" w:eastAsia="宋体" w:cs="宋体"/>
          <w:snapToGrid/>
          <w:color w:val="000000"/>
          <w:kern w:val="0"/>
          <w:sz w:val="24"/>
          <w:szCs w:val="24"/>
          <w:lang w:eastAsia="zh-CN" w:bidi="ar"/>
        </w:rPr>
        <w:t>三年课程平均成绩名列本专业前30%，推荐过程中凡涉及按成绩排名或计分时，均以第一次考试成绩为准；必修课和专业选修课成绩均在及格以上，且专业核心课程（专业必修课和专业限选课）平均成绩不低于80；全国大学外语四级考试成绩不低于460分，或者六级考试成绩不低于425分，或者全国外语专业四级考试需达到“良好”等级以上；或者物流管理专业（中法合作办学项目）参加法语等级考试（TCF或TEF或DELF）达到B1等级及以上；学术研究兴趣浓厚，有较强的创新意识、创新能力和专业能力倾向，对获得各类学科竞赛和科技竞赛奖励的学生在同等条件下优先推荐。</w:t>
      </w:r>
    </w:p>
    <w:p w14:paraId="502FFC75">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4．诚实守信，学风端正，无任何考试作弊和剽窃他人学术成果记录。</w:t>
      </w:r>
    </w:p>
    <w:p w14:paraId="1E76CFE0">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5．品行表现优良，无任何违法违纪受处分记录。</w:t>
      </w:r>
    </w:p>
    <w:p w14:paraId="4857BE4A">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6．身心健康，达到“国家体育锻炼标准”的及格标准和本校体育课教学大纲的及格要求。</w:t>
      </w:r>
    </w:p>
    <w:p w14:paraId="293721BA">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7．对有特殊学术专长或具有突出培养潜质者（以下简称“学术特长生”），有前三年课程平均成绩需名列本专业前50%，经3名以上本校本专业教授联名推荐，学生有关说明材料和教授推荐信要进行公示。“学术特长生”的破格条件及程序按《四川外国语大学教授联名推荐“学术特长生”免试攻读硕士学位研究生的实施办法（修订稿）》执行。</w:t>
      </w:r>
    </w:p>
    <w:p w14:paraId="36083A9F">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8．在学校期间，经学校同意到指定的国内外高校交流学习，且其交流学习期间在国内外高校获得的学分可足额冲抵同期在校应修学分的学生，如符合上述条件，具备推免资格。</w:t>
      </w:r>
    </w:p>
    <w:p w14:paraId="0C0C6A65">
      <w:pPr>
        <w:pStyle w:val="2"/>
        <w:keepNext w:val="0"/>
        <w:keepLines w:val="0"/>
        <w:pageBreakBefore w:val="0"/>
        <w:widowControl/>
        <w:kinsoku/>
        <w:wordWrap/>
        <w:overflowPunct w:val="0"/>
        <w:topLinePunct/>
        <w:autoSpaceDE w:val="0"/>
        <w:autoSpaceDN w:val="0"/>
        <w:bidi w:val="0"/>
        <w:adjustRightInd w:val="0"/>
        <w:snapToGrid w:val="0"/>
        <w:spacing w:line="360" w:lineRule="auto"/>
        <w:ind w:left="45"/>
        <w:jc w:val="both"/>
        <w:textAlignment w:val="baseline"/>
        <w:outlineLvl w:val="0"/>
        <w:rPr>
          <w:b/>
          <w:bCs/>
          <w:spacing w:val="-5"/>
        </w:rPr>
      </w:pPr>
      <w:r>
        <w:rPr>
          <w:b/>
          <w:bCs/>
          <w:spacing w:val="-5"/>
        </w:rPr>
        <w:t>三、推荐程序</w:t>
      </w:r>
    </w:p>
    <w:p w14:paraId="08FE5C53">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1．申报学生务必仔细阅读《四川外国语大学推荐优秀应届本科毕业生免试攻读硕士学位研究生工作实施办法》（修订稿）《四川外国语大学关于教授联名推荐“学术特长生”免试攻读硕士学位研究生的实施办法》（修订稿）《四川外国语大学研究生推免附加分列表》和本实施细则。</w:t>
      </w:r>
    </w:p>
    <w:p w14:paraId="3AB344B8">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2．满足申报条件的学生在自愿报名的基础上，自愿向学院提出参加推荐申请，填写《四川外国语大学推荐优秀应届本科毕业生免试攻读硕士学位研究生申请表》，并提交相应证明材料。</w:t>
      </w:r>
    </w:p>
    <w:p w14:paraId="477BA20E">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highlight w:val="none"/>
          <w:lang w:eastAsia="zh-CN" w:bidi="ar"/>
        </w:rPr>
      </w:pPr>
      <w:r>
        <w:rPr>
          <w:rFonts w:hint="eastAsia" w:ascii="宋体" w:hAnsi="宋体" w:eastAsia="宋体" w:cs="宋体"/>
          <w:snapToGrid/>
          <w:color w:val="000000"/>
          <w:kern w:val="0"/>
          <w:sz w:val="24"/>
          <w:szCs w:val="24"/>
          <w:highlight w:val="none"/>
          <w:lang w:eastAsia="zh-CN" w:bidi="ar"/>
        </w:rPr>
        <w:t>3．学院对提交申请的学生进行资格审查。</w:t>
      </w:r>
    </w:p>
    <w:p w14:paraId="7C5D4BDB">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highlight w:val="none"/>
          <w:lang w:eastAsia="zh-CN" w:bidi="ar"/>
        </w:rPr>
      </w:pPr>
      <w:r>
        <w:rPr>
          <w:rFonts w:hint="eastAsia" w:ascii="宋体" w:hAnsi="宋体" w:eastAsia="宋体" w:cs="宋体"/>
          <w:snapToGrid/>
          <w:color w:val="000000"/>
          <w:kern w:val="0"/>
          <w:sz w:val="24"/>
          <w:szCs w:val="24"/>
          <w:highlight w:val="none"/>
          <w:lang w:eastAsia="zh-CN" w:bidi="ar"/>
        </w:rPr>
        <w:t>4．学院根据本实施细则的第四款综合成绩测评办法测算综合成绩和进行名次排序，经学院推免生遴选工作小组审核确定初步推荐名单。思想政治素质和品德考核结果作为遴选推荐的首要依据,考核不通过者不予推荐。本次推荐学院在学校分配名额数的基础上按照1：1.5的比例，进行差额推荐。</w:t>
      </w:r>
    </w:p>
    <w:p w14:paraId="2EBD5F93">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5．进入初步推荐名单的学生，在有效时间内如有放弃的，依次递补。符合推免资格，排名靠前但自愿放弃推免资格的学生，必须提交书面声明，由学院存留备查。</w:t>
      </w:r>
    </w:p>
    <w:p w14:paraId="31A8B830">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6．学院将初步推荐名单进行公示。公示期间，如对名单有异议，请在公示期内提出。</w:t>
      </w:r>
    </w:p>
    <w:p w14:paraId="795F45AA">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7．学校推免生遴选工作领导小组审定拟推荐的免试生名单并在校内网上予以公示。“学术特长生”由教务处组织校内专项工作小组进行复审，报学校推免工作领导小组审批后进行公示。</w:t>
      </w:r>
    </w:p>
    <w:p w14:paraId="04C7E604">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8．获得推免资格的学生需按照教育部“全国推荐优秀应届本科毕业生免试攻读研究生信息公开暨管理服务系统”（以下简称“推免服务系统”，网址：</w:t>
      </w:r>
      <w:r>
        <w:rPr>
          <w:rFonts w:hint="eastAsia" w:ascii="宋体" w:hAnsi="宋体" w:eastAsia="宋体" w:cs="宋体"/>
          <w:snapToGrid/>
          <w:color w:val="000000"/>
          <w:kern w:val="0"/>
          <w:sz w:val="24"/>
          <w:szCs w:val="24"/>
          <w:lang w:eastAsia="zh-CN" w:bidi="ar"/>
        </w:rPr>
        <w:fldChar w:fldCharType="begin"/>
      </w:r>
      <w:r>
        <w:rPr>
          <w:rFonts w:hint="eastAsia" w:ascii="宋体" w:hAnsi="宋体" w:eastAsia="宋体" w:cs="宋体"/>
          <w:snapToGrid/>
          <w:color w:val="000000"/>
          <w:kern w:val="0"/>
          <w:sz w:val="24"/>
          <w:szCs w:val="24"/>
          <w:lang w:eastAsia="zh-CN" w:bidi="ar"/>
        </w:rPr>
        <w:instrText xml:space="preserve"> HYPERLINK "http://yz.chsi.com.cn/tm" </w:instrText>
      </w:r>
      <w:r>
        <w:rPr>
          <w:rFonts w:hint="eastAsia" w:ascii="宋体" w:hAnsi="宋体" w:eastAsia="宋体" w:cs="宋体"/>
          <w:snapToGrid/>
          <w:color w:val="000000"/>
          <w:kern w:val="0"/>
          <w:sz w:val="24"/>
          <w:szCs w:val="24"/>
          <w:lang w:eastAsia="zh-CN" w:bidi="ar"/>
        </w:rPr>
        <w:fldChar w:fldCharType="separate"/>
      </w:r>
      <w:r>
        <w:rPr>
          <w:rFonts w:hint="eastAsia" w:ascii="宋体" w:hAnsi="宋体" w:eastAsia="宋体" w:cs="宋体"/>
          <w:snapToGrid/>
          <w:color w:val="000000"/>
          <w:kern w:val="0"/>
          <w:sz w:val="24"/>
          <w:szCs w:val="24"/>
          <w:lang w:eastAsia="zh-CN" w:bidi="ar"/>
        </w:rPr>
        <w:t>http://yz.chsi.com.cn/tm</w:t>
      </w:r>
      <w:r>
        <w:rPr>
          <w:rFonts w:hint="eastAsia" w:ascii="宋体" w:hAnsi="宋体" w:eastAsia="宋体" w:cs="宋体"/>
          <w:snapToGrid/>
          <w:color w:val="000000"/>
          <w:kern w:val="0"/>
          <w:sz w:val="24"/>
          <w:szCs w:val="24"/>
          <w:lang w:eastAsia="zh-CN" w:bidi="ar"/>
        </w:rPr>
        <w:fldChar w:fldCharType="end"/>
      </w:r>
      <w:r>
        <w:rPr>
          <w:rFonts w:hint="eastAsia" w:ascii="宋体" w:hAnsi="宋体" w:eastAsia="宋体" w:cs="宋体"/>
          <w:snapToGrid/>
          <w:color w:val="000000"/>
          <w:kern w:val="0"/>
          <w:sz w:val="24"/>
          <w:szCs w:val="24"/>
          <w:lang w:eastAsia="zh-CN" w:bidi="ar"/>
        </w:rPr>
        <w:t>）中具体时间的安排，自行在“推免服务系统”跟踪并完成以下操作：注册填写基本信息、完成网上报名和网上缴费、点击接受并确认复试通知、按招生单位要求参加复试、查看复试成绩和待录取通知、点击并接收待录取通知。相关操作指南和说明请及时关注教育部网站，有关网上填报问题请及时电话咨询所报院校研究生院。</w:t>
      </w:r>
    </w:p>
    <w:p w14:paraId="0A4D288F">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9．已经获得推免资格，但在毕业前因违反校纪、校规而受到学校相关处理的学生，学校将取消其推免生资格。</w:t>
      </w:r>
    </w:p>
    <w:p w14:paraId="3DBD9880">
      <w:pPr>
        <w:pStyle w:val="2"/>
        <w:keepNext w:val="0"/>
        <w:keepLines w:val="0"/>
        <w:pageBreakBefore w:val="0"/>
        <w:widowControl/>
        <w:kinsoku/>
        <w:wordWrap/>
        <w:overflowPunct w:val="0"/>
        <w:topLinePunct/>
        <w:autoSpaceDE w:val="0"/>
        <w:autoSpaceDN w:val="0"/>
        <w:bidi w:val="0"/>
        <w:adjustRightInd w:val="0"/>
        <w:snapToGrid w:val="0"/>
        <w:spacing w:line="360" w:lineRule="auto"/>
        <w:ind w:left="45"/>
        <w:jc w:val="both"/>
        <w:textAlignment w:val="baseline"/>
        <w:outlineLvl w:val="0"/>
      </w:pPr>
      <w:r>
        <w:rPr>
          <w:b/>
          <w:bCs/>
          <w:spacing w:val="-5"/>
        </w:rPr>
        <w:t>四、综合成绩测评办法</w:t>
      </w:r>
    </w:p>
    <w:p w14:paraId="28CBEC48">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val="en-US" w:eastAsia="zh-CN" w:bidi="ar"/>
        </w:rPr>
        <w:t>1</w:t>
      </w:r>
      <w:r>
        <w:rPr>
          <w:rFonts w:hint="eastAsia" w:ascii="宋体" w:hAnsi="宋体" w:eastAsia="宋体" w:cs="宋体"/>
          <w:snapToGrid/>
          <w:color w:val="000000"/>
          <w:kern w:val="0"/>
          <w:sz w:val="24"/>
          <w:szCs w:val="24"/>
          <w:lang w:eastAsia="zh-CN" w:bidi="ar"/>
        </w:rPr>
        <w:t>．综合测评成绩=学业成绩+加分项目成绩</w:t>
      </w:r>
    </w:p>
    <w:p w14:paraId="44D1E461">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val="en-US" w:eastAsia="zh-CN" w:bidi="ar"/>
        </w:rPr>
        <w:t>2</w:t>
      </w:r>
      <w:r>
        <w:rPr>
          <w:rFonts w:hint="eastAsia" w:ascii="宋体" w:hAnsi="宋体" w:eastAsia="宋体" w:cs="宋体"/>
          <w:snapToGrid/>
          <w:color w:val="000000"/>
          <w:kern w:val="0"/>
          <w:sz w:val="24"/>
          <w:szCs w:val="24"/>
          <w:lang w:eastAsia="zh-CN" w:bidi="ar"/>
        </w:rPr>
        <w:t>．学业成绩对专业必修课、专业限选课、语言课（英语课或法语课）进行加总，取平均分为综合测评成绩，占综合测评成绩95%。</w:t>
      </w:r>
    </w:p>
    <w:p w14:paraId="735D7ED2">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val="en-US" w:eastAsia="zh-CN" w:bidi="ar"/>
        </w:rPr>
        <w:t>3</w:t>
      </w:r>
      <w:r>
        <w:rPr>
          <w:rFonts w:hint="eastAsia" w:ascii="宋体" w:hAnsi="宋体" w:eastAsia="宋体" w:cs="宋体"/>
          <w:snapToGrid/>
          <w:color w:val="000000"/>
          <w:kern w:val="0"/>
          <w:sz w:val="24"/>
          <w:szCs w:val="24"/>
          <w:lang w:eastAsia="zh-CN" w:bidi="ar"/>
        </w:rPr>
        <w:t>．加分项目成绩</w:t>
      </w:r>
    </w:p>
    <w:p w14:paraId="7178CA33">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如科技活动（省部级以上）、学科竞赛（省部级以上）、科技创新（含授权专利、公开发表论文等）、文体特长及社会实践活动（其中，文体特长及社会实践活动权重总计不得高于1%）等占综合测评成绩的5%。</w:t>
      </w:r>
      <w:r>
        <w:rPr>
          <w:rFonts w:hint="eastAsia" w:ascii="宋体" w:hAnsi="宋体" w:eastAsia="宋体" w:cs="宋体"/>
          <w:snapToGrid/>
          <w:color w:val="000000"/>
          <w:kern w:val="0"/>
          <w:sz w:val="24"/>
          <w:szCs w:val="24"/>
          <w:lang w:val="en-US" w:eastAsia="zh-CN" w:bidi="ar"/>
        </w:rPr>
        <w:t>加分参照学校附加分表执行</w:t>
      </w:r>
      <w:r>
        <w:rPr>
          <w:rFonts w:hint="eastAsia" w:ascii="宋体" w:hAnsi="宋体" w:eastAsia="宋体" w:cs="宋体"/>
          <w:snapToGrid/>
          <w:color w:val="000000"/>
          <w:kern w:val="0"/>
          <w:sz w:val="24"/>
          <w:szCs w:val="24"/>
          <w:lang w:eastAsia="zh-CN" w:bidi="ar"/>
        </w:rPr>
        <w:t>，加分项目成绩按百分制打分，具体分值由学院推免生遴选工作小组评定。</w:t>
      </w:r>
    </w:p>
    <w:p w14:paraId="596CC56F">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学院推免生遴选小组将会同相关领域专家，对申请推免资格学生的科研成果、论文、竞赛获奖奖项及内容进行审核鉴定，排除抄袭、造假、冒名及有名无实等情况；对学生提交的科研成果和竞赛获奖进行评价，评价重点聚焦到创新质量和个人贡献；对申请推免资格学生参军入伍服兵役、参加有组织志愿服务和到国际组织实习等情况进行核实。对提交科研创新成果、竞赛获奖的，学院组织学生在一定范围内进行公开答辩。答辩全程要录音录像，审核专家小组根据学生提交的材料，公开答辩等情况，给出明确的审核认定意见，并签字存档。</w:t>
      </w:r>
    </w:p>
    <w:p w14:paraId="110B91C1">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4）学术特长生综合成绩按《四川外国语大学教授联名推荐“学术特长生”免试攻读硕士学位研究生的实施办法（修订稿）》执行。</w:t>
      </w:r>
    </w:p>
    <w:p w14:paraId="186728BF">
      <w:pPr>
        <w:pStyle w:val="2"/>
        <w:keepNext w:val="0"/>
        <w:keepLines w:val="0"/>
        <w:pageBreakBefore w:val="0"/>
        <w:widowControl/>
        <w:kinsoku/>
        <w:wordWrap/>
        <w:overflowPunct w:val="0"/>
        <w:topLinePunct/>
        <w:autoSpaceDE w:val="0"/>
        <w:autoSpaceDN w:val="0"/>
        <w:bidi w:val="0"/>
        <w:adjustRightInd w:val="0"/>
        <w:snapToGrid w:val="0"/>
        <w:spacing w:before="83" w:line="220" w:lineRule="auto"/>
        <w:ind w:left="25"/>
        <w:jc w:val="both"/>
        <w:textAlignment w:val="baseline"/>
        <w:outlineLvl w:val="0"/>
      </w:pPr>
      <w:r>
        <w:rPr>
          <w:rFonts w:hint="eastAsia"/>
          <w:b/>
          <w:bCs/>
          <w:spacing w:val="-7"/>
          <w:lang w:val="en-US" w:eastAsia="zh-CN"/>
        </w:rPr>
        <w:t>五</w:t>
      </w:r>
      <w:r>
        <w:rPr>
          <w:b/>
          <w:bCs/>
          <w:spacing w:val="-7"/>
        </w:rPr>
        <w:t>、其他</w:t>
      </w:r>
    </w:p>
    <w:p w14:paraId="24C58C28">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1．对在申请推免过程中弄虚作假的学生，一经发现，即取消推免生资格，对已录取者取消录取资格，并按学校有关规定对相关人员进行相应的处理。</w:t>
      </w:r>
    </w:p>
    <w:p w14:paraId="7FEB6E2E">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2．本实施细则由国际金融与贸易学院推免工作小组负责解释。</w:t>
      </w:r>
    </w:p>
    <w:p w14:paraId="6A7E63C0">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3．本实施细则作为学校所下发的《关于开展推荐优秀应届本科毕业生</w:t>
      </w:r>
      <w:bookmarkStart w:id="0" w:name="_GoBack"/>
      <w:bookmarkEnd w:id="0"/>
      <w:r>
        <w:rPr>
          <w:rFonts w:hint="eastAsia" w:ascii="宋体" w:hAnsi="宋体" w:eastAsia="宋体" w:cs="宋体"/>
          <w:snapToGrid/>
          <w:color w:val="000000"/>
          <w:kern w:val="0"/>
          <w:sz w:val="24"/>
          <w:szCs w:val="24"/>
          <w:lang w:eastAsia="zh-CN" w:bidi="ar"/>
        </w:rPr>
        <w:t>2026年免试攻读硕士研究生的通知》的具体补充，条款如有冲突，以学校的实施办法为准。</w:t>
      </w:r>
    </w:p>
    <w:p w14:paraId="557FB45E">
      <w:pPr>
        <w:keepNext w:val="0"/>
        <w:keepLines w:val="0"/>
        <w:pageBreakBefore w:val="0"/>
        <w:widowControl/>
        <w:kinsoku/>
        <w:wordWrap/>
        <w:overflowPunct w:val="0"/>
        <w:topLinePunct/>
        <w:autoSpaceDE w:val="0"/>
        <w:autoSpaceDN w:val="0"/>
        <w:bidi w:val="0"/>
        <w:adjustRightInd w:val="0"/>
        <w:snapToGrid w:val="0"/>
        <w:spacing w:line="344" w:lineRule="auto"/>
        <w:jc w:val="both"/>
        <w:textAlignment w:val="baseline"/>
        <w:rPr>
          <w:rFonts w:ascii="Arial"/>
          <w:sz w:val="21"/>
        </w:rPr>
      </w:pPr>
    </w:p>
    <w:p w14:paraId="745688D0">
      <w:pPr>
        <w:keepNext w:val="0"/>
        <w:keepLines w:val="0"/>
        <w:pageBreakBefore w:val="0"/>
        <w:widowControl/>
        <w:kinsoku/>
        <w:wordWrap/>
        <w:overflowPunct w:val="0"/>
        <w:topLinePunct/>
        <w:autoSpaceDE w:val="0"/>
        <w:autoSpaceDN w:val="0"/>
        <w:bidi w:val="0"/>
        <w:adjustRightInd w:val="0"/>
        <w:snapToGrid w:val="0"/>
        <w:spacing w:line="344" w:lineRule="auto"/>
        <w:jc w:val="both"/>
        <w:textAlignment w:val="baseline"/>
        <w:rPr>
          <w:rFonts w:ascii="Arial"/>
          <w:sz w:val="21"/>
          <w:highlight w:val="none"/>
        </w:rPr>
      </w:pPr>
    </w:p>
    <w:p w14:paraId="1D6DF959">
      <w:pPr>
        <w:pStyle w:val="2"/>
        <w:keepNext w:val="0"/>
        <w:keepLines w:val="0"/>
        <w:pageBreakBefore w:val="0"/>
        <w:widowControl/>
        <w:kinsoku/>
        <w:wordWrap/>
        <w:overflowPunct w:val="0"/>
        <w:topLinePunct/>
        <w:autoSpaceDE w:val="0"/>
        <w:autoSpaceDN w:val="0"/>
        <w:bidi w:val="0"/>
        <w:adjustRightInd w:val="0"/>
        <w:snapToGrid w:val="0"/>
        <w:spacing w:before="78" w:line="220" w:lineRule="auto"/>
        <w:ind w:right="10"/>
        <w:jc w:val="right"/>
        <w:textAlignment w:val="baseline"/>
        <w:rPr>
          <w:highlight w:val="none"/>
        </w:rPr>
      </w:pPr>
      <w:r>
        <w:rPr>
          <w:spacing w:val="-2"/>
          <w:highlight w:val="none"/>
        </w:rPr>
        <w:t>四川外国语大学国际金融与贸易学院</w:t>
      </w:r>
    </w:p>
    <w:p w14:paraId="2E49896F">
      <w:pPr>
        <w:pStyle w:val="2"/>
        <w:keepNext w:val="0"/>
        <w:keepLines w:val="0"/>
        <w:pageBreakBefore w:val="0"/>
        <w:widowControl/>
        <w:kinsoku/>
        <w:wordWrap/>
        <w:overflowPunct w:val="0"/>
        <w:topLinePunct/>
        <w:autoSpaceDE w:val="0"/>
        <w:autoSpaceDN w:val="0"/>
        <w:bidi w:val="0"/>
        <w:adjustRightInd w:val="0"/>
        <w:snapToGrid w:val="0"/>
        <w:spacing w:before="106" w:line="220" w:lineRule="auto"/>
        <w:jc w:val="right"/>
        <w:textAlignment w:val="baseline"/>
        <w:rPr>
          <w:rFonts w:hint="eastAsia" w:ascii="宋体" w:hAnsi="宋体" w:eastAsia="宋体" w:cs="宋体"/>
          <w:snapToGrid/>
          <w:color w:val="000000"/>
          <w:kern w:val="0"/>
          <w:sz w:val="24"/>
          <w:szCs w:val="24"/>
          <w:highlight w:val="none"/>
          <w:lang w:val="en-US" w:eastAsia="zh-CN" w:bidi="ar"/>
        </w:rPr>
      </w:pPr>
      <w:r>
        <w:rPr>
          <w:rFonts w:hint="eastAsia" w:ascii="宋体" w:hAnsi="宋体" w:eastAsia="宋体" w:cs="宋体"/>
          <w:snapToGrid/>
          <w:color w:val="000000"/>
          <w:kern w:val="0"/>
          <w:sz w:val="24"/>
          <w:szCs w:val="24"/>
          <w:highlight w:val="none"/>
          <w:lang w:val="en-US" w:eastAsia="zh-CN" w:bidi="ar"/>
        </w:rPr>
        <w:t>2026年</w:t>
      </w:r>
      <w:r>
        <w:rPr>
          <w:rFonts w:hint="eastAsia" w:cs="宋体"/>
          <w:snapToGrid/>
          <w:color w:val="000000"/>
          <w:kern w:val="0"/>
          <w:sz w:val="24"/>
          <w:szCs w:val="24"/>
          <w:highlight w:val="none"/>
          <w:lang w:val="en-US" w:eastAsia="zh-CN" w:bidi="ar"/>
        </w:rPr>
        <w:t>9</w:t>
      </w:r>
      <w:r>
        <w:rPr>
          <w:rFonts w:hint="eastAsia" w:ascii="宋体" w:hAnsi="宋体" w:eastAsia="宋体" w:cs="宋体"/>
          <w:snapToGrid/>
          <w:color w:val="000000"/>
          <w:kern w:val="0"/>
          <w:sz w:val="24"/>
          <w:szCs w:val="24"/>
          <w:highlight w:val="none"/>
          <w:lang w:val="en-US" w:eastAsia="zh-CN" w:bidi="ar"/>
        </w:rPr>
        <w:t>月</w:t>
      </w:r>
      <w:r>
        <w:rPr>
          <w:rFonts w:hint="eastAsia" w:cs="宋体"/>
          <w:snapToGrid/>
          <w:color w:val="000000"/>
          <w:kern w:val="0"/>
          <w:sz w:val="24"/>
          <w:szCs w:val="24"/>
          <w:highlight w:val="none"/>
          <w:lang w:val="en-US" w:eastAsia="zh-CN" w:bidi="ar"/>
        </w:rPr>
        <w:t>4</w:t>
      </w:r>
      <w:r>
        <w:rPr>
          <w:rFonts w:hint="eastAsia" w:ascii="宋体" w:hAnsi="宋体" w:eastAsia="宋体" w:cs="宋体"/>
          <w:snapToGrid/>
          <w:color w:val="000000"/>
          <w:kern w:val="0"/>
          <w:sz w:val="24"/>
          <w:szCs w:val="24"/>
          <w:highlight w:val="none"/>
          <w:lang w:val="en-US" w:eastAsia="zh-CN" w:bidi="ar"/>
        </w:rPr>
        <w:t>日</w:t>
      </w:r>
    </w:p>
    <w:p w14:paraId="07EEB48E">
      <w:pPr>
        <w:pStyle w:val="2"/>
        <w:keepNext w:val="0"/>
        <w:keepLines w:val="0"/>
        <w:pageBreakBefore w:val="0"/>
        <w:widowControl/>
        <w:kinsoku/>
        <w:wordWrap/>
        <w:overflowPunct w:val="0"/>
        <w:topLinePunct/>
        <w:autoSpaceDE w:val="0"/>
        <w:autoSpaceDN w:val="0"/>
        <w:bidi w:val="0"/>
        <w:adjustRightInd w:val="0"/>
        <w:snapToGrid w:val="0"/>
        <w:spacing w:before="106" w:line="220" w:lineRule="auto"/>
        <w:jc w:val="both"/>
        <w:textAlignment w:val="baseline"/>
        <w:rPr>
          <w:rFonts w:hint="eastAsia" w:ascii="宋体" w:hAnsi="宋体" w:eastAsia="宋体" w:cs="宋体"/>
          <w:snapToGrid/>
          <w:color w:val="000000"/>
          <w:kern w:val="0"/>
          <w:sz w:val="24"/>
          <w:szCs w:val="24"/>
          <w:lang w:val="en-US" w:eastAsia="zh-CN" w:bidi="ar"/>
        </w:rPr>
      </w:pPr>
    </w:p>
    <w:p w14:paraId="12205460">
      <w:pPr>
        <w:pStyle w:val="2"/>
        <w:keepNext w:val="0"/>
        <w:keepLines w:val="0"/>
        <w:pageBreakBefore w:val="0"/>
        <w:widowControl/>
        <w:kinsoku/>
        <w:wordWrap/>
        <w:overflowPunct w:val="0"/>
        <w:topLinePunct/>
        <w:autoSpaceDE w:val="0"/>
        <w:autoSpaceDN w:val="0"/>
        <w:bidi w:val="0"/>
        <w:adjustRightInd w:val="0"/>
        <w:snapToGrid w:val="0"/>
        <w:spacing w:before="106" w:line="220" w:lineRule="auto"/>
        <w:jc w:val="both"/>
        <w:textAlignment w:val="baseline"/>
        <w:rPr>
          <w:rFonts w:hint="eastAsia" w:ascii="宋体" w:hAnsi="宋体" w:eastAsia="宋体" w:cs="宋体"/>
          <w:snapToGrid/>
          <w:color w:val="000000"/>
          <w:kern w:val="0"/>
          <w:sz w:val="24"/>
          <w:szCs w:val="24"/>
          <w:lang w:val="en-US" w:eastAsia="zh-CN" w:bidi="ar"/>
        </w:rPr>
      </w:pPr>
    </w:p>
    <w:p w14:paraId="7A6B8D72">
      <w:pPr>
        <w:keepNext w:val="0"/>
        <w:keepLines w:val="0"/>
        <w:pageBreakBefore w:val="0"/>
        <w:widowControl/>
        <w:kinsoku/>
        <w:wordWrap/>
        <w:overflowPunct w:val="0"/>
        <w:topLinePunct/>
        <w:autoSpaceDE w:val="0"/>
        <w:autoSpaceDN w:val="0"/>
        <w:bidi w:val="0"/>
        <w:adjustRightInd w:val="0"/>
        <w:snapToGrid w:val="0"/>
        <w:spacing w:line="220" w:lineRule="auto"/>
        <w:jc w:val="both"/>
        <w:textAlignment w:val="baseline"/>
        <w:sectPr>
          <w:footerReference r:id="rId5" w:type="default"/>
          <w:pgSz w:w="11907" w:h="16839"/>
          <w:pgMar w:top="1431" w:right="1785" w:bottom="1366" w:left="1785" w:header="0" w:footer="1165" w:gutter="0"/>
          <w:cols w:space="720" w:num="1"/>
        </w:sectPr>
      </w:pPr>
    </w:p>
    <w:p w14:paraId="7F195D54">
      <w:pPr>
        <w:pStyle w:val="2"/>
        <w:keepNext w:val="0"/>
        <w:keepLines w:val="0"/>
        <w:pageBreakBefore w:val="0"/>
        <w:widowControl/>
        <w:wordWrap/>
        <w:bidi w:val="0"/>
        <w:spacing w:before="151" w:line="225" w:lineRule="auto"/>
        <w:ind w:left="129"/>
        <w:jc w:val="both"/>
        <w:rPr>
          <w:sz w:val="31"/>
          <w:szCs w:val="31"/>
        </w:rPr>
      </w:pPr>
      <w:r>
        <w:rPr>
          <w:spacing w:val="-15"/>
          <w:sz w:val="31"/>
          <w:szCs w:val="31"/>
        </w:rPr>
        <w:t>说明：</w:t>
      </w:r>
    </w:p>
    <w:p w14:paraId="4E81F9DC">
      <w:pPr>
        <w:pStyle w:val="2"/>
        <w:keepNext w:val="0"/>
        <w:keepLines w:val="0"/>
        <w:pageBreakBefore w:val="0"/>
        <w:widowControl/>
        <w:kinsoku w:val="0"/>
        <w:wordWrap/>
        <w:overflowPunct/>
        <w:topLinePunct w:val="0"/>
        <w:autoSpaceDE w:val="0"/>
        <w:autoSpaceDN w:val="0"/>
        <w:bidi w:val="0"/>
        <w:adjustRightInd w:val="0"/>
        <w:snapToGrid w:val="0"/>
        <w:spacing w:before="135" w:line="220" w:lineRule="auto"/>
        <w:ind w:left="125"/>
        <w:jc w:val="both"/>
        <w:textAlignment w:val="baseline"/>
        <w:outlineLvl w:val="0"/>
        <w:rPr>
          <w:sz w:val="23"/>
          <w:szCs w:val="23"/>
        </w:rPr>
      </w:pPr>
      <w:r>
        <w:rPr>
          <w:b/>
          <w:bCs/>
          <w:spacing w:val="-7"/>
          <w:sz w:val="23"/>
          <w:szCs w:val="23"/>
        </w:rPr>
        <w:t>关于学术竞赛类：</w:t>
      </w:r>
    </w:p>
    <w:p w14:paraId="5B504F0C">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一）学术竞赛类应由政府或全国一级学会主办，包含中国互联网+大学生创新创业大赛、外研社21世纪杯、全国大学生数学建模竞赛、全国大学生电子设计竞赛（含邀请赛）、全国大学生系列科技学术竞赛、“挑战杯”、“三创”赛等。</w:t>
      </w:r>
    </w:p>
    <w:p w14:paraId="1113D0BA">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（二）学院根据开办专业的学科特点，拟定其他赛事的加分细则。</w:t>
      </w:r>
    </w:p>
    <w:p w14:paraId="00C0F7EE">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协会主办的专业竞赛按照同等级别学会主办的学术竞赛的50%认定分值，总数不超过3项；非协会主办单位举办的专业竞赛按照学会主办的学术竞赛的20%认定分值，总数不超过2项。</w:t>
      </w:r>
    </w:p>
    <w:p w14:paraId="7D3603C2">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2.外语竞赛按专业竞赛分值的80%认定。</w:t>
      </w:r>
    </w:p>
    <w:p w14:paraId="2947A09C">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（三）以上各类赛事中获得全国第一名（或捧杯）的，可另加5分。</w:t>
      </w:r>
    </w:p>
    <w:p w14:paraId="0BA058AE">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（四）学术竞赛中同年同一系列赛事取一项的最高分计入，不重复加分；学术竞赛及科研和论文类设最高分限制，不得突破最高分。</w:t>
      </w:r>
    </w:p>
    <w:p w14:paraId="5D63BC7E">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r>
        <w:rPr>
          <w:rFonts w:hint="eastAsia" w:ascii="宋体" w:hAnsi="宋体" w:eastAsia="宋体" w:cs="宋体"/>
          <w:snapToGrid/>
          <w:color w:val="000000"/>
          <w:kern w:val="0"/>
          <w:sz w:val="24"/>
          <w:szCs w:val="24"/>
          <w:lang w:eastAsia="zh-CN" w:bidi="ar"/>
        </w:rPr>
        <w:t>（五）各类竞赛优秀奖的评分按照同类竞赛下一级别竞赛的一等奖的分值计算。</w:t>
      </w:r>
    </w:p>
    <w:p w14:paraId="63E17718">
      <w:pPr>
        <w:keepNext w:val="0"/>
        <w:keepLines w:val="0"/>
        <w:pageBreakBefore w:val="0"/>
        <w:widowControl/>
        <w:kinsoku/>
        <w:wordWrap/>
        <w:autoSpaceDE/>
        <w:autoSpaceDN/>
        <w:bidi w:val="0"/>
        <w:adjustRightInd/>
        <w:snapToGrid/>
        <w:spacing w:line="360" w:lineRule="auto"/>
        <w:ind w:firstLine="480" w:firstLineChars="200"/>
        <w:jc w:val="both"/>
        <w:textAlignment w:val="auto"/>
        <w:rPr>
          <w:rFonts w:hint="eastAsia" w:ascii="宋体" w:hAnsi="宋体" w:eastAsia="宋体" w:cs="宋体"/>
          <w:snapToGrid/>
          <w:color w:val="000000"/>
          <w:kern w:val="0"/>
          <w:sz w:val="24"/>
          <w:szCs w:val="24"/>
          <w:lang w:eastAsia="zh-CN" w:bidi="ar"/>
        </w:rPr>
      </w:pPr>
    </w:p>
    <w:p w14:paraId="5CA34A82"/>
    <w:p w14:paraId="02174A14">
      <w:pPr>
        <w:pStyle w:val="2"/>
        <w:keepNext w:val="0"/>
        <w:keepLines w:val="0"/>
        <w:pageBreakBefore w:val="0"/>
        <w:widowControl/>
        <w:wordWrap/>
        <w:bidi w:val="0"/>
        <w:spacing w:before="42" w:line="213" w:lineRule="auto"/>
        <w:ind w:left="23"/>
        <w:jc w:val="both"/>
        <w:rPr>
          <w:sz w:val="23"/>
          <w:szCs w:val="23"/>
        </w:rPr>
      </w:pPr>
    </w:p>
    <w:sectPr>
      <w:footerReference r:id="rId6" w:type="default"/>
      <w:pgSz w:w="11907" w:h="16839"/>
      <w:pgMar w:top="1431" w:right="1785" w:bottom="1366" w:left="1785" w:header="0" w:footer="11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346AC">
    <w:pPr>
      <w:spacing w:line="220" w:lineRule="auto"/>
      <w:ind w:left="4130"/>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1E740">
    <w:pPr>
      <w:spacing w:line="220" w:lineRule="auto"/>
      <w:ind w:left="4129"/>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2E3995"/>
    <w:rsid w:val="051A2B4D"/>
    <w:rsid w:val="0B9A6AC5"/>
    <w:rsid w:val="14435A35"/>
    <w:rsid w:val="15963CC7"/>
    <w:rsid w:val="19503C6F"/>
    <w:rsid w:val="1B290D90"/>
    <w:rsid w:val="1B33546B"/>
    <w:rsid w:val="30432245"/>
    <w:rsid w:val="31221E51"/>
    <w:rsid w:val="40EE205A"/>
    <w:rsid w:val="4ACA72FB"/>
    <w:rsid w:val="55EF2446"/>
    <w:rsid w:val="5E82253E"/>
    <w:rsid w:val="62E96E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2997</Words>
  <Characters>3060</Characters>
  <TotalTime>17</TotalTime>
  <ScaleCrop>false</ScaleCrop>
  <LinksUpToDate>false</LinksUpToDate>
  <CharactersWithSpaces>3076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2025-08-16T10:50:00Z</dcterms:created>
  <dc:creator>微软用户</dc:creator>
  <cp:lastModifiedBy>果然精彩</cp:lastModifiedBy>
  <dcterms:modified xsi:type="dcterms:W3CDTF">2026-09-05T07:18:46Z</dcterms:modified>
  <dc:title>四川外国语大学国际商学院</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2026-06-29T15:30:11Z</vt:filetime>
  </property>
  <property fmtid="{D5CDD505-2E9C-101B-9397-08002B2CF9AE}" pid="4" name="KSOTemplateDocerSaveRecord">
    <vt:lpwstr>eyJoZGlkIjoiYTA5NWI1ODgyNWFiMWNkZjAwM2MxMjZhYjc0ZjE3ZTYiLCJ1c2VySWQiOiI2MzE5NTE5MjgifQ==</vt:lpwstr>
  </property>
  <property fmtid="{D5CDD505-2E9C-101B-9397-08002B2CF9AE}" pid="5" name="KSOProductBuildVer">
    <vt:lpwstr>2052-12.1.0.26895</vt:lpwstr>
  </property>
  <property fmtid="{D5CDD505-2E9C-101B-9397-08002B2CF9AE}" pid="6" name="ICV">
    <vt:lpwstr>144E3975469E4647BD6F357B3C1231B6_12</vt:lpwstr>
  </property>
</Properties>
</file>